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E0A" w:rsidRPr="00891410" w:rsidRDefault="002D7E0A" w:rsidP="002D7E0A">
      <w:pPr>
        <w:pStyle w:val="Descripcin"/>
        <w:keepNext/>
        <w:spacing w:line="480" w:lineRule="auto"/>
        <w:rPr>
          <w:rFonts w:ascii="Times New Roman" w:hAnsi="Times New Roman"/>
          <w:i w:val="0"/>
          <w:color w:val="000000" w:themeColor="text1"/>
          <w:sz w:val="24"/>
          <w:szCs w:val="24"/>
        </w:rPr>
      </w:pPr>
      <w:bookmarkStart w:id="0" w:name="_Ref104044962"/>
      <w:bookmarkStart w:id="1" w:name="_Toc104048356"/>
      <w:r w:rsidRPr="00891410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t xml:space="preserve">Tabla </w:t>
      </w:r>
      <w:r w:rsidRPr="00891410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fldChar w:fldCharType="begin"/>
      </w:r>
      <w:r w:rsidRPr="00891410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instrText xml:space="preserve"> SEQ Tabla \* ARABIC </w:instrText>
      </w:r>
      <w:r w:rsidRPr="00891410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/>
          <w:b/>
          <w:i w:val="0"/>
          <w:noProof/>
          <w:color w:val="000000" w:themeColor="text1"/>
          <w:sz w:val="24"/>
          <w:szCs w:val="24"/>
        </w:rPr>
        <w:t>1</w:t>
      </w:r>
      <w:r w:rsidRPr="00891410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fldChar w:fldCharType="end"/>
      </w:r>
      <w:bookmarkEnd w:id="0"/>
      <w:r w:rsidRPr="00891410">
        <w:rPr>
          <w:rFonts w:ascii="Times New Roman" w:hAnsi="Times New Roman"/>
          <w:i w:val="0"/>
          <w:color w:val="000000" w:themeColor="text1"/>
          <w:sz w:val="24"/>
          <w:szCs w:val="24"/>
        </w:rPr>
        <w:br/>
      </w:r>
      <w:r w:rsidRPr="00891410">
        <w:rPr>
          <w:rFonts w:ascii="Times New Roman" w:hAnsi="Times New Roman"/>
          <w:color w:val="000000" w:themeColor="text1"/>
          <w:sz w:val="24"/>
          <w:szCs w:val="24"/>
        </w:rPr>
        <w:t>Enfoque de públicos preliminar</w:t>
      </w:r>
      <w:bookmarkEnd w:id="1"/>
    </w:p>
    <w:tbl>
      <w:tblPr>
        <w:tblStyle w:val="Tablanormal4"/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42"/>
        <w:gridCol w:w="5886"/>
      </w:tblGrid>
      <w:tr w:rsidR="00525DE9" w:rsidRPr="002D7E0A" w:rsidTr="002D7E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  <w:tcBorders>
              <w:top w:val="single" w:sz="4" w:space="0" w:color="auto"/>
              <w:bottom w:val="single" w:sz="4" w:space="0" w:color="auto"/>
            </w:tcBorders>
          </w:tcPr>
          <w:p w:rsidR="00525DE9" w:rsidRPr="002D7E0A" w:rsidRDefault="00525DE9" w:rsidP="00035D97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D7E0A">
              <w:rPr>
                <w:rFonts w:ascii="Times New Roman" w:hAnsi="Times New Roman" w:cs="Times New Roman"/>
              </w:rPr>
              <w:t>Tipo de públicos</w:t>
            </w:r>
          </w:p>
        </w:tc>
        <w:tc>
          <w:tcPr>
            <w:tcW w:w="5886" w:type="dxa"/>
            <w:tcBorders>
              <w:top w:val="single" w:sz="4" w:space="0" w:color="auto"/>
              <w:bottom w:val="single" w:sz="4" w:space="0" w:color="auto"/>
            </w:tcBorders>
          </w:tcPr>
          <w:p w:rsidR="00525DE9" w:rsidRPr="002D7E0A" w:rsidRDefault="00525DE9" w:rsidP="00525D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2D7E0A">
              <w:rPr>
                <w:rFonts w:ascii="Times New Roman" w:hAnsi="Times New Roman" w:cs="Times New Roman"/>
              </w:rPr>
              <w:t>¿Por qué?</w:t>
            </w:r>
          </w:p>
          <w:p w:rsidR="00525DE9" w:rsidRPr="002D7E0A" w:rsidRDefault="00525DE9" w:rsidP="00525DE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</w:p>
        </w:tc>
      </w:tr>
      <w:tr w:rsidR="00035D97" w:rsidRPr="002D7E0A" w:rsidTr="002D7E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tcBorders>
              <w:top w:val="single" w:sz="4" w:space="0" w:color="auto"/>
            </w:tcBorders>
          </w:tcPr>
          <w:p w:rsidR="00035D97" w:rsidRPr="002D7E0A" w:rsidRDefault="00035D97" w:rsidP="00035D97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D7E0A">
              <w:rPr>
                <w:rFonts w:ascii="Times New Roman" w:hAnsi="Times New Roman" w:cs="Times New Roman"/>
              </w:rPr>
              <w:t>Grupos de acuerdo a origen</w:t>
            </w:r>
          </w:p>
          <w:p w:rsidR="00525DE9" w:rsidRPr="002D7E0A" w:rsidRDefault="00525DE9" w:rsidP="00035D97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525DE9" w:rsidRPr="002D7E0A" w:rsidTr="002D7E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525DE9" w:rsidRPr="002D7E0A" w:rsidRDefault="00525DE9" w:rsidP="00FE7832">
            <w:pPr>
              <w:jc w:val="both"/>
              <w:rPr>
                <w:rFonts w:ascii="Times New Roman" w:hAnsi="Times New Roman" w:cs="Times New Roman"/>
                <w:b w:val="0"/>
                <w:i/>
              </w:rPr>
            </w:pPr>
            <w:r w:rsidRPr="002D7E0A">
              <w:rPr>
                <w:rFonts w:ascii="Times New Roman" w:hAnsi="Times New Roman" w:cs="Times New Roman"/>
                <w:i/>
              </w:rPr>
              <w:t>Habitantes de Güepsa</w:t>
            </w:r>
          </w:p>
        </w:tc>
        <w:tc>
          <w:tcPr>
            <w:tcW w:w="5886" w:type="dxa"/>
          </w:tcPr>
          <w:p w:rsidR="00525DE9" w:rsidRPr="002D7E0A" w:rsidRDefault="00525DE9" w:rsidP="00035D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 xml:space="preserve">Este es tal vez el grupo más importante, ya que CUNYAYA busca poner en valor este producto, los oficios asociados a su producción, la memoria  de quienes intervienen y prácticas culturales del municipio, con el fin de generar apropiación por parte de los güepsanos. </w:t>
            </w:r>
          </w:p>
          <w:p w:rsidR="00525DE9" w:rsidRPr="002D7E0A" w:rsidRDefault="00525DE9" w:rsidP="00035D9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 xml:space="preserve">Para este grupo, el centro de interpretación funcionará como espacio de </w:t>
            </w:r>
            <w:r w:rsidRPr="002D7E0A">
              <w:rPr>
                <w:rFonts w:ascii="Times New Roman" w:hAnsi="Times New Roman" w:cs="Times New Roman"/>
                <w:i/>
              </w:rPr>
              <w:t>reconocimiento</w:t>
            </w:r>
            <w:r w:rsidRPr="002D7E0A">
              <w:rPr>
                <w:rFonts w:ascii="Times New Roman" w:hAnsi="Times New Roman" w:cs="Times New Roman"/>
              </w:rPr>
              <w:t xml:space="preserve"> y </w:t>
            </w:r>
            <w:r w:rsidRPr="002D7E0A">
              <w:rPr>
                <w:rFonts w:ascii="Times New Roman" w:hAnsi="Times New Roman" w:cs="Times New Roman"/>
                <w:i/>
              </w:rPr>
              <w:t>autoconocimiento</w:t>
            </w:r>
            <w:r w:rsidRPr="002D7E0A">
              <w:rPr>
                <w:rFonts w:ascii="Times New Roman" w:hAnsi="Times New Roman" w:cs="Times New Roman"/>
              </w:rPr>
              <w:t>.</w:t>
            </w:r>
          </w:p>
          <w:p w:rsidR="00525DE9" w:rsidRPr="002D7E0A" w:rsidRDefault="00525DE9" w:rsidP="00FE7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525DE9" w:rsidRPr="002D7E0A" w:rsidTr="002D7E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525DE9" w:rsidRPr="002D7E0A" w:rsidRDefault="00525DE9" w:rsidP="00FE7832">
            <w:pPr>
              <w:jc w:val="both"/>
              <w:rPr>
                <w:rFonts w:ascii="Times New Roman" w:hAnsi="Times New Roman" w:cs="Times New Roman"/>
                <w:b w:val="0"/>
                <w:i/>
              </w:rPr>
            </w:pPr>
            <w:r w:rsidRPr="002D7E0A">
              <w:rPr>
                <w:rFonts w:ascii="Times New Roman" w:hAnsi="Times New Roman" w:cs="Times New Roman"/>
                <w:i/>
              </w:rPr>
              <w:t>Turistas</w:t>
            </w:r>
          </w:p>
        </w:tc>
        <w:tc>
          <w:tcPr>
            <w:tcW w:w="5886" w:type="dxa"/>
          </w:tcPr>
          <w:p w:rsidR="00525DE9" w:rsidRPr="002D7E0A" w:rsidRDefault="00525DE9" w:rsidP="00FE78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  <w:i/>
              </w:rPr>
              <w:t>Conocer</w:t>
            </w:r>
            <w:r w:rsidRPr="002D7E0A">
              <w:rPr>
                <w:rFonts w:ascii="Times New Roman" w:hAnsi="Times New Roman" w:cs="Times New Roman"/>
              </w:rPr>
              <w:t xml:space="preserve"> las personas, conocimientos, oficios y tiempo requerido en la producción panelera, permitirá la </w:t>
            </w:r>
            <w:r w:rsidRPr="002D7E0A">
              <w:rPr>
                <w:rFonts w:ascii="Times New Roman" w:hAnsi="Times New Roman" w:cs="Times New Roman"/>
                <w:i/>
              </w:rPr>
              <w:t xml:space="preserve">puesta en </w:t>
            </w:r>
            <w:r w:rsidR="0021486F" w:rsidRPr="002D7E0A">
              <w:rPr>
                <w:rFonts w:ascii="Times New Roman" w:hAnsi="Times New Roman" w:cs="Times New Roman"/>
                <w:i/>
              </w:rPr>
              <w:t>valor</w:t>
            </w:r>
            <w:r w:rsidR="0021486F" w:rsidRPr="002D7E0A">
              <w:rPr>
                <w:rFonts w:ascii="Times New Roman" w:hAnsi="Times New Roman" w:cs="Times New Roman"/>
              </w:rPr>
              <w:t xml:space="preserve"> de este producto por parte de este grupo poblacional, además que permitirá la búsqueda de nuevas </w:t>
            </w:r>
            <w:r w:rsidR="0021486F" w:rsidRPr="002D7E0A">
              <w:rPr>
                <w:rFonts w:ascii="Times New Roman" w:hAnsi="Times New Roman" w:cs="Times New Roman"/>
                <w:i/>
              </w:rPr>
              <w:t>experiencias turísticas</w:t>
            </w:r>
            <w:r w:rsidR="0021486F" w:rsidRPr="002D7E0A">
              <w:rPr>
                <w:rFonts w:ascii="Times New Roman" w:hAnsi="Times New Roman" w:cs="Times New Roman"/>
              </w:rPr>
              <w:t xml:space="preserve"> en el territorio, lo que redundará en la activación de este sector económico para el municipio.</w:t>
            </w:r>
          </w:p>
          <w:p w:rsidR="0021486F" w:rsidRPr="002D7E0A" w:rsidRDefault="0021486F" w:rsidP="00FE78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35D97" w:rsidRPr="002D7E0A" w:rsidTr="002D7E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</w:tcPr>
          <w:p w:rsidR="00035D97" w:rsidRPr="002D7E0A" w:rsidRDefault="00035D97" w:rsidP="00035D97">
            <w:pPr>
              <w:jc w:val="center"/>
              <w:rPr>
                <w:rFonts w:ascii="Times New Roman" w:hAnsi="Times New Roman" w:cs="Times New Roman"/>
                <w:b w:val="0"/>
              </w:rPr>
            </w:pPr>
            <w:r w:rsidRPr="002D7E0A">
              <w:rPr>
                <w:rFonts w:ascii="Times New Roman" w:hAnsi="Times New Roman" w:cs="Times New Roman"/>
              </w:rPr>
              <w:t>Segmentos poblacionales</w:t>
            </w:r>
            <w:r w:rsidR="00EC4997" w:rsidRPr="002D7E0A">
              <w:rPr>
                <w:rFonts w:ascii="Times New Roman" w:hAnsi="Times New Roman" w:cs="Times New Roman"/>
              </w:rPr>
              <w:t xml:space="preserve"> que pueden estar presentes en los dos grupos anteriore</w:t>
            </w:r>
            <w:r w:rsidR="00B15E60" w:rsidRPr="002D7E0A">
              <w:rPr>
                <w:rFonts w:ascii="Times New Roman" w:hAnsi="Times New Roman" w:cs="Times New Roman"/>
              </w:rPr>
              <w:t>s</w:t>
            </w:r>
          </w:p>
          <w:p w:rsidR="001B403C" w:rsidRPr="002D7E0A" w:rsidRDefault="001B403C" w:rsidP="00035D97">
            <w:p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</w:tr>
      <w:tr w:rsidR="00EC4997" w:rsidRPr="002D7E0A" w:rsidTr="002D7E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EC4997" w:rsidRPr="002D7E0A" w:rsidRDefault="00EC4997" w:rsidP="00FE7832">
            <w:pPr>
              <w:jc w:val="both"/>
              <w:rPr>
                <w:rFonts w:ascii="Times New Roman" w:hAnsi="Times New Roman" w:cs="Times New Roman"/>
                <w:b w:val="0"/>
                <w:i/>
                <w:lang w:val="pt-BR"/>
              </w:rPr>
            </w:pPr>
            <w:r w:rsidRPr="002D7E0A">
              <w:rPr>
                <w:rFonts w:ascii="Times New Roman" w:hAnsi="Times New Roman" w:cs="Times New Roman"/>
                <w:i/>
                <w:lang w:val="pt-BR"/>
              </w:rPr>
              <w:t>Público familiar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  <w:lang w:val="pt-BR"/>
              </w:rPr>
            </w:pPr>
            <w:r w:rsidRPr="002D7E0A">
              <w:rPr>
                <w:rFonts w:ascii="Times New Roman" w:hAnsi="Times New Roman" w:cs="Times New Roman"/>
                <w:lang w:val="pt-BR"/>
              </w:rPr>
              <w:t>AM: Adulto mayor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  <w:lang w:val="pt-BR"/>
              </w:rPr>
            </w:pPr>
            <w:r w:rsidRPr="002D7E0A">
              <w:rPr>
                <w:rFonts w:ascii="Times New Roman" w:hAnsi="Times New Roman" w:cs="Times New Roman"/>
                <w:lang w:val="pt-BR"/>
              </w:rPr>
              <w:t>A: Adulto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  <w:lang w:val="pt-BR"/>
              </w:rPr>
            </w:pPr>
            <w:r w:rsidRPr="002D7E0A">
              <w:rPr>
                <w:rFonts w:ascii="Times New Roman" w:hAnsi="Times New Roman" w:cs="Times New Roman"/>
                <w:lang w:val="pt-BR"/>
              </w:rPr>
              <w:t>AJ: Adulto joven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AD: Adolescente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N: Niños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I: Infante</w:t>
            </w:r>
          </w:p>
          <w:p w:rsidR="00726FD4" w:rsidRPr="002D7E0A" w:rsidRDefault="00726FD4" w:rsidP="00FE783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6" w:type="dxa"/>
          </w:tcPr>
          <w:p w:rsidR="00B15E60" w:rsidRPr="002D7E0A" w:rsidRDefault="00B15E60" w:rsidP="00B15E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Planes para realizar en familia, especialmente los fines de semana, lleva a la búsqueda de espacios en los que cada miembro  pueda encontrar actividades de interés de acuerdo a su edad y gustos. Si bien la búsqueda de estos espacios casi siempre se determina por el gusto de niños y adolescentes, se elige el que brinde mayores opciones para todo el grupo familiar.</w:t>
            </w:r>
          </w:p>
          <w:p w:rsidR="00B15E60" w:rsidRPr="002D7E0A" w:rsidRDefault="00B15E60" w:rsidP="00B15E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En ese sentido, el centro de interpretación deberá generar experiencias de distintos tipos y que tenga como público objetivo: Adultos mayores, adultos, adultos jóvenes, adolescentes, niños e infantes.</w:t>
            </w:r>
          </w:p>
          <w:p w:rsidR="00B15E60" w:rsidRPr="002D7E0A" w:rsidRDefault="00B15E60" w:rsidP="00B15E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E53098" w:rsidRPr="002D7E0A" w:rsidTr="002D7E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E53098" w:rsidRPr="002D7E0A" w:rsidRDefault="00E53098" w:rsidP="00FE7832">
            <w:pPr>
              <w:jc w:val="both"/>
              <w:rPr>
                <w:rFonts w:ascii="Times New Roman" w:hAnsi="Times New Roman" w:cs="Times New Roman"/>
                <w:b w:val="0"/>
                <w:i/>
              </w:rPr>
            </w:pPr>
            <w:r w:rsidRPr="002D7E0A">
              <w:rPr>
                <w:rFonts w:ascii="Times New Roman" w:hAnsi="Times New Roman" w:cs="Times New Roman"/>
                <w:i/>
              </w:rPr>
              <w:t>Público adulto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S: Solo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G: Grupo</w:t>
            </w:r>
          </w:p>
          <w:p w:rsidR="00726FD4" w:rsidRPr="002D7E0A" w:rsidRDefault="00726FD4" w:rsidP="00FE783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6" w:type="dxa"/>
          </w:tcPr>
          <w:p w:rsidR="00E53098" w:rsidRPr="002D7E0A" w:rsidRDefault="00A14E39" w:rsidP="00B15E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 xml:space="preserve">Gente que se desplaza sola o con personas de su misma edad, buscando actividades de esparcimiento, pero a través de las cuales pueda disfrutar y entretenerse mientras aprende sobre un tema, es otro de los segmentos de públicos  para CUNYAYA. </w:t>
            </w:r>
          </w:p>
          <w:p w:rsidR="00A14E39" w:rsidRPr="002D7E0A" w:rsidRDefault="00A14E39" w:rsidP="00B15E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Disfrutar de las experiencias propias del centro de interpretación, pero también de actividades asociadas a él, hace pensar que este lugar debería diseñar actividades complementarias para este segmento, que pueden estar relacionadas con recorridos por el territorio en los que se pueda ampliar el conocim</w:t>
            </w:r>
            <w:r w:rsidR="00AC3808" w:rsidRPr="002D7E0A">
              <w:rPr>
                <w:rFonts w:ascii="Times New Roman" w:hAnsi="Times New Roman" w:cs="Times New Roman"/>
              </w:rPr>
              <w:t>iento o vivir de manera directa</w:t>
            </w:r>
            <w:r w:rsidRPr="002D7E0A">
              <w:rPr>
                <w:rFonts w:ascii="Times New Roman" w:hAnsi="Times New Roman" w:cs="Times New Roman"/>
              </w:rPr>
              <w:t xml:space="preserve"> las experiencias presentadas, disfrutar de gastronomía o lugares para escuchar música y consumir alguna bebida, podrían ser opciones para el público adulto.</w:t>
            </w:r>
          </w:p>
          <w:p w:rsidR="00A14E39" w:rsidRPr="002D7E0A" w:rsidRDefault="00A14E39" w:rsidP="00B15E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EC4997" w:rsidRPr="002D7E0A" w:rsidTr="002D7E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EC4997" w:rsidRPr="002D7E0A" w:rsidRDefault="00EC4997" w:rsidP="00FE7832">
            <w:pPr>
              <w:jc w:val="both"/>
              <w:rPr>
                <w:rFonts w:ascii="Times New Roman" w:hAnsi="Times New Roman" w:cs="Times New Roman"/>
                <w:b w:val="0"/>
                <w:i/>
              </w:rPr>
            </w:pPr>
            <w:r w:rsidRPr="002D7E0A">
              <w:rPr>
                <w:rFonts w:ascii="Times New Roman" w:hAnsi="Times New Roman" w:cs="Times New Roman"/>
                <w:i/>
              </w:rPr>
              <w:lastRenderedPageBreak/>
              <w:t>Público escolar y docentes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PRE: Preescolar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PRI: Primaria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BCH: Bachillerato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D: Docente</w:t>
            </w:r>
          </w:p>
          <w:p w:rsidR="00726FD4" w:rsidRPr="002D7E0A" w:rsidRDefault="00726FD4" w:rsidP="00FE783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6" w:type="dxa"/>
          </w:tcPr>
          <w:p w:rsidR="00EC4997" w:rsidRPr="002D7E0A" w:rsidRDefault="00E53098" w:rsidP="00E53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Un espacio a través del cual aprender  de manera distinta conceptos relacionados con ciencias naturales, medio ambiente, sistemas de producción o simplemente apropiarse de conocimientos asociados a la tradición económica y cultural del municipio, hace del centro de interpretación un espacio de aprendizaje no formal, que puede ayudar a los docentes a dinamizar y generar apropiación del conocimiento.</w:t>
            </w:r>
          </w:p>
          <w:p w:rsidR="00E53098" w:rsidRPr="002D7E0A" w:rsidRDefault="00E53098" w:rsidP="00E53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Para ello, los contenidos, dispositivos museográficos y experiencias tecnológicas, deben considerar la manera de gene</w:t>
            </w:r>
            <w:r w:rsidR="00A14E39" w:rsidRPr="002D7E0A">
              <w:rPr>
                <w:rFonts w:ascii="Times New Roman" w:hAnsi="Times New Roman" w:cs="Times New Roman"/>
              </w:rPr>
              <w:t xml:space="preserve">rar interés en públicos de distintos niveles de </w:t>
            </w:r>
            <w:r w:rsidRPr="002D7E0A">
              <w:rPr>
                <w:rFonts w:ascii="Times New Roman" w:hAnsi="Times New Roman" w:cs="Times New Roman"/>
              </w:rPr>
              <w:t>escolar</w:t>
            </w:r>
            <w:r w:rsidR="00A14E39" w:rsidRPr="002D7E0A">
              <w:rPr>
                <w:rFonts w:ascii="Times New Roman" w:hAnsi="Times New Roman" w:cs="Times New Roman"/>
              </w:rPr>
              <w:t>idad</w:t>
            </w:r>
            <w:r w:rsidRPr="002D7E0A">
              <w:rPr>
                <w:rFonts w:ascii="Times New Roman" w:hAnsi="Times New Roman" w:cs="Times New Roman"/>
              </w:rPr>
              <w:t>: pr</w:t>
            </w:r>
            <w:r w:rsidR="00A14E39" w:rsidRPr="002D7E0A">
              <w:rPr>
                <w:rFonts w:ascii="Times New Roman" w:hAnsi="Times New Roman" w:cs="Times New Roman"/>
              </w:rPr>
              <w:t>eescolar, primaria y bachillerato</w:t>
            </w:r>
            <w:r w:rsidRPr="002D7E0A">
              <w:rPr>
                <w:rFonts w:ascii="Times New Roman" w:hAnsi="Times New Roman" w:cs="Times New Roman"/>
              </w:rPr>
              <w:t>, así como el diseño de actividades que atraiga a los docentes y los invite al uso del centro de interpretación.</w:t>
            </w:r>
          </w:p>
          <w:p w:rsidR="00E53098" w:rsidRPr="002D7E0A" w:rsidRDefault="00E53098" w:rsidP="00FE783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EC4997" w:rsidRPr="002D7E0A" w:rsidTr="002D7E0A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2" w:type="dxa"/>
          </w:tcPr>
          <w:p w:rsidR="00EC4997" w:rsidRPr="002D7E0A" w:rsidRDefault="00E53098" w:rsidP="00FE7832">
            <w:pPr>
              <w:jc w:val="both"/>
              <w:rPr>
                <w:rFonts w:ascii="Times New Roman" w:hAnsi="Times New Roman" w:cs="Times New Roman"/>
                <w:b w:val="0"/>
                <w:i/>
              </w:rPr>
            </w:pPr>
            <w:r w:rsidRPr="002D7E0A">
              <w:rPr>
                <w:rFonts w:ascii="Times New Roman" w:hAnsi="Times New Roman" w:cs="Times New Roman"/>
                <w:i/>
              </w:rPr>
              <w:t>Público experto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S: Solo</w:t>
            </w:r>
          </w:p>
          <w:p w:rsidR="00726FD4" w:rsidRPr="002D7E0A" w:rsidRDefault="00726FD4" w:rsidP="00726FD4">
            <w:pPr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G: Grupo</w:t>
            </w:r>
          </w:p>
          <w:p w:rsidR="00726FD4" w:rsidRPr="002D7E0A" w:rsidRDefault="00726FD4" w:rsidP="00FE783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86" w:type="dxa"/>
          </w:tcPr>
          <w:p w:rsidR="00EC4997" w:rsidRPr="002D7E0A" w:rsidRDefault="0054348A" w:rsidP="00543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Personal que trabaja en el área  de la producción y/o comercialización de la panela,  investigadores en el área de la agronomía, sistemas de producción, ingeniería de alimentos, entre otros, deberían encontrar en CUNYAYA una manera de adentrarse, obtener nuevos conocimientos o ampliar los que ya tienen, a través del uso de distintos medios y de lenguajes que aunque se salgan de lo estrictamente científico, no pierdan rigurosidad.</w:t>
            </w:r>
          </w:p>
          <w:p w:rsidR="0054348A" w:rsidRPr="002D7E0A" w:rsidRDefault="006474CC" w:rsidP="00FE7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2D7E0A">
              <w:rPr>
                <w:rFonts w:ascii="Times New Roman" w:hAnsi="Times New Roman" w:cs="Times New Roman"/>
              </w:rPr>
              <w:t>A este segmento le podría resultar de interés actividades asociadas a recorridos  por los cañaduzales durante las actividades de siembra, así como a los trapiches.</w:t>
            </w:r>
          </w:p>
          <w:p w:rsidR="006474CC" w:rsidRPr="002D7E0A" w:rsidRDefault="006474CC" w:rsidP="00FE783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386303" w:rsidRDefault="00386303" w:rsidP="00FE7832">
      <w:pPr>
        <w:jc w:val="both"/>
        <w:rPr>
          <w:sz w:val="24"/>
          <w:szCs w:val="24"/>
        </w:rPr>
      </w:pPr>
    </w:p>
    <w:p w:rsidR="00375695" w:rsidRDefault="00375695" w:rsidP="00375695">
      <w:pPr>
        <w:jc w:val="center"/>
        <w:rPr>
          <w:sz w:val="24"/>
          <w:szCs w:val="24"/>
        </w:rPr>
      </w:pPr>
    </w:p>
    <w:p w:rsidR="00F402A5" w:rsidRDefault="00F402A5" w:rsidP="00375695">
      <w:pPr>
        <w:jc w:val="center"/>
        <w:rPr>
          <w:sz w:val="24"/>
          <w:szCs w:val="24"/>
        </w:rPr>
      </w:pPr>
    </w:p>
    <w:p w:rsidR="00F402A5" w:rsidRDefault="00F402A5" w:rsidP="00375695">
      <w:pPr>
        <w:jc w:val="center"/>
        <w:rPr>
          <w:sz w:val="24"/>
          <w:szCs w:val="24"/>
        </w:rPr>
      </w:pPr>
    </w:p>
    <w:p w:rsidR="00726FD4" w:rsidRDefault="00726FD4" w:rsidP="00375695">
      <w:pPr>
        <w:jc w:val="center"/>
        <w:rPr>
          <w:sz w:val="24"/>
          <w:szCs w:val="24"/>
        </w:rPr>
        <w:sectPr w:rsidR="00726FD4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:rsidR="002D7E0A" w:rsidRPr="00264420" w:rsidRDefault="002D7E0A" w:rsidP="002D7E0A">
      <w:pPr>
        <w:pStyle w:val="Descripcin"/>
        <w:keepNext/>
        <w:spacing w:after="0" w:line="480" w:lineRule="auto"/>
        <w:rPr>
          <w:rFonts w:ascii="Times New Roman" w:hAnsi="Times New Roman"/>
          <w:i w:val="0"/>
          <w:color w:val="000000" w:themeColor="text1"/>
          <w:sz w:val="24"/>
          <w:szCs w:val="24"/>
        </w:rPr>
      </w:pPr>
      <w:bookmarkStart w:id="2" w:name="_Toc104048357"/>
      <w:r w:rsidRPr="00264420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lastRenderedPageBreak/>
        <w:t xml:space="preserve">Tabla </w:t>
      </w:r>
      <w:r w:rsidRPr="00264420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fldChar w:fldCharType="begin"/>
      </w:r>
      <w:r w:rsidRPr="00264420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instrText xml:space="preserve"> SEQ Tabla \* ARABIC </w:instrText>
      </w:r>
      <w:r w:rsidRPr="00264420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/>
          <w:b/>
          <w:i w:val="0"/>
          <w:noProof/>
          <w:color w:val="000000" w:themeColor="text1"/>
          <w:sz w:val="24"/>
          <w:szCs w:val="24"/>
        </w:rPr>
        <w:t>2</w:t>
      </w:r>
      <w:r w:rsidRPr="00264420">
        <w:rPr>
          <w:rFonts w:ascii="Times New Roman" w:hAnsi="Times New Roman"/>
          <w:b/>
          <w:i w:val="0"/>
          <w:color w:val="000000" w:themeColor="text1"/>
          <w:sz w:val="24"/>
          <w:szCs w:val="24"/>
        </w:rPr>
        <w:fldChar w:fldCharType="end"/>
      </w:r>
      <w:r w:rsidRPr="00264420">
        <w:rPr>
          <w:rFonts w:ascii="Times New Roman" w:hAnsi="Times New Roman"/>
          <w:i w:val="0"/>
          <w:color w:val="000000" w:themeColor="text1"/>
          <w:sz w:val="24"/>
          <w:szCs w:val="24"/>
        </w:rPr>
        <w:br/>
      </w:r>
      <w:r w:rsidRPr="00264420">
        <w:rPr>
          <w:rFonts w:ascii="Times New Roman" w:hAnsi="Times New Roman"/>
          <w:color w:val="000000" w:themeColor="text1"/>
          <w:sz w:val="24"/>
          <w:szCs w:val="24"/>
        </w:rPr>
        <w:t>Matriz de Clasificación de Públicos</w:t>
      </w:r>
      <w:bookmarkEnd w:id="2"/>
    </w:p>
    <w:tbl>
      <w:tblPr>
        <w:tblStyle w:val="Tablanormal4"/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881"/>
        <w:gridCol w:w="542"/>
        <w:gridCol w:w="411"/>
        <w:gridCol w:w="423"/>
        <w:gridCol w:w="488"/>
        <w:gridCol w:w="411"/>
        <w:gridCol w:w="411"/>
        <w:gridCol w:w="768"/>
        <w:gridCol w:w="768"/>
        <w:gridCol w:w="565"/>
        <w:gridCol w:w="516"/>
        <w:gridCol w:w="595"/>
        <w:gridCol w:w="411"/>
        <w:gridCol w:w="776"/>
        <w:gridCol w:w="777"/>
      </w:tblGrid>
      <w:tr w:rsidR="00726FD4" w:rsidRPr="005E283E" w:rsidTr="003764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vMerge w:val="restart"/>
            <w:tcBorders>
              <w:top w:val="single" w:sz="4" w:space="0" w:color="auto"/>
              <w:bottom w:val="nil"/>
            </w:tcBorders>
          </w:tcPr>
          <w:p w:rsidR="00726FD4" w:rsidRPr="005E283E" w:rsidRDefault="00726FD4" w:rsidP="00726FD4">
            <w:pPr>
              <w:rPr>
                <w:rFonts w:cstheme="minorHAnsi"/>
                <w:b w:val="0"/>
              </w:rPr>
            </w:pPr>
            <w:bookmarkStart w:id="3" w:name="_GoBack"/>
          </w:p>
          <w:p w:rsidR="00726FD4" w:rsidRPr="00726FD4" w:rsidRDefault="00726FD4" w:rsidP="00726FD4">
            <w:pPr>
              <w:rPr>
                <w:rFonts w:cstheme="minorHAnsi"/>
                <w:b w:val="0"/>
              </w:rPr>
            </w:pPr>
            <w:r w:rsidRPr="00726FD4">
              <w:rPr>
                <w:rFonts w:cstheme="minorHAnsi"/>
              </w:rPr>
              <w:t>Nombre y descripción de la actividad o experiencia</w:t>
            </w:r>
          </w:p>
        </w:tc>
        <w:tc>
          <w:tcPr>
            <w:tcW w:w="7862" w:type="dxa"/>
            <w:gridSpan w:val="14"/>
            <w:tcBorders>
              <w:top w:val="single" w:sz="4" w:space="0" w:color="auto"/>
              <w:bottom w:val="nil"/>
            </w:tcBorders>
          </w:tcPr>
          <w:p w:rsidR="00726FD4" w:rsidRPr="00726FD4" w:rsidRDefault="00726FD4" w:rsidP="00726F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r w:rsidRPr="00726FD4">
              <w:rPr>
                <w:rFonts w:cstheme="minorHAnsi"/>
              </w:rPr>
              <w:t xml:space="preserve">Segmento de público </w:t>
            </w:r>
          </w:p>
        </w:tc>
      </w:tr>
      <w:tr w:rsidR="00726FD4" w:rsidRPr="005E283E" w:rsidTr="00376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vMerge/>
            <w:tcBorders>
              <w:top w:val="nil"/>
              <w:bottom w:val="nil"/>
            </w:tcBorders>
          </w:tcPr>
          <w:p w:rsidR="00726FD4" w:rsidRPr="00726FD4" w:rsidRDefault="00726FD4" w:rsidP="00726FD4">
            <w:pPr>
              <w:rPr>
                <w:rFonts w:cstheme="minorHAnsi"/>
                <w:b w:val="0"/>
              </w:rPr>
            </w:pPr>
          </w:p>
        </w:tc>
        <w:tc>
          <w:tcPr>
            <w:tcW w:w="2686" w:type="dxa"/>
            <w:gridSpan w:val="6"/>
            <w:tcBorders>
              <w:top w:val="nil"/>
              <w:bottom w:val="nil"/>
            </w:tcBorders>
          </w:tcPr>
          <w:p w:rsidR="00726FD4" w:rsidRPr="00726FD4" w:rsidRDefault="00726FD4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Familiar</w:t>
            </w:r>
          </w:p>
        </w:tc>
        <w:tc>
          <w:tcPr>
            <w:tcW w:w="1536" w:type="dxa"/>
            <w:gridSpan w:val="2"/>
            <w:tcBorders>
              <w:top w:val="nil"/>
              <w:bottom w:val="nil"/>
            </w:tcBorders>
          </w:tcPr>
          <w:p w:rsidR="00726FD4" w:rsidRPr="00726FD4" w:rsidRDefault="00726FD4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 xml:space="preserve">Adulto </w:t>
            </w:r>
          </w:p>
        </w:tc>
        <w:tc>
          <w:tcPr>
            <w:tcW w:w="2087" w:type="dxa"/>
            <w:gridSpan w:val="4"/>
            <w:tcBorders>
              <w:top w:val="nil"/>
              <w:bottom w:val="nil"/>
            </w:tcBorders>
          </w:tcPr>
          <w:p w:rsidR="00726FD4" w:rsidRPr="00726FD4" w:rsidRDefault="00726FD4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 xml:space="preserve">Escolar </w:t>
            </w:r>
          </w:p>
        </w:tc>
        <w:tc>
          <w:tcPr>
            <w:tcW w:w="1553" w:type="dxa"/>
            <w:gridSpan w:val="2"/>
            <w:tcBorders>
              <w:top w:val="nil"/>
              <w:bottom w:val="nil"/>
            </w:tcBorders>
          </w:tcPr>
          <w:p w:rsidR="00726FD4" w:rsidRPr="00726FD4" w:rsidRDefault="00726FD4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 xml:space="preserve">Experto </w:t>
            </w:r>
          </w:p>
        </w:tc>
      </w:tr>
      <w:tr w:rsidR="00726FD4" w:rsidRPr="005E283E" w:rsidTr="0037648F">
        <w:trPr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vMerge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rPr>
                <w:rFonts w:cstheme="minorHAnsi"/>
                <w:b w:val="0"/>
              </w:rPr>
            </w:pPr>
          </w:p>
        </w:tc>
        <w:tc>
          <w:tcPr>
            <w:tcW w:w="542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AM</w:t>
            </w: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A</w:t>
            </w:r>
          </w:p>
        </w:tc>
        <w:tc>
          <w:tcPr>
            <w:tcW w:w="423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AJ</w:t>
            </w:r>
          </w:p>
        </w:tc>
        <w:tc>
          <w:tcPr>
            <w:tcW w:w="488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AD</w:t>
            </w: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N</w:t>
            </w: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I</w:t>
            </w:r>
          </w:p>
        </w:tc>
        <w:tc>
          <w:tcPr>
            <w:tcW w:w="768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S</w:t>
            </w:r>
          </w:p>
        </w:tc>
        <w:tc>
          <w:tcPr>
            <w:tcW w:w="768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G</w:t>
            </w:r>
          </w:p>
        </w:tc>
        <w:tc>
          <w:tcPr>
            <w:tcW w:w="565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PRE</w:t>
            </w:r>
          </w:p>
        </w:tc>
        <w:tc>
          <w:tcPr>
            <w:tcW w:w="516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PRI</w:t>
            </w:r>
          </w:p>
        </w:tc>
        <w:tc>
          <w:tcPr>
            <w:tcW w:w="595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BCH</w:t>
            </w:r>
          </w:p>
        </w:tc>
        <w:tc>
          <w:tcPr>
            <w:tcW w:w="411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D</w:t>
            </w:r>
          </w:p>
        </w:tc>
        <w:tc>
          <w:tcPr>
            <w:tcW w:w="776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S</w:t>
            </w:r>
          </w:p>
        </w:tc>
        <w:tc>
          <w:tcPr>
            <w:tcW w:w="777" w:type="dxa"/>
            <w:tcBorders>
              <w:top w:val="nil"/>
              <w:bottom w:val="single" w:sz="4" w:space="0" w:color="auto"/>
            </w:tcBorders>
          </w:tcPr>
          <w:p w:rsidR="00726FD4" w:rsidRPr="00726FD4" w:rsidRDefault="00726FD4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726FD4">
              <w:rPr>
                <w:rFonts w:cstheme="minorHAnsi"/>
                <w:b/>
              </w:rPr>
              <w:t>G</w:t>
            </w:r>
          </w:p>
        </w:tc>
      </w:tr>
      <w:bookmarkEnd w:id="3"/>
      <w:tr w:rsidR="008C04BB" w:rsidRPr="005E283E" w:rsidTr="00376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Espacio 1.1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Los Cañaduzales - </w:t>
            </w:r>
            <w:r w:rsidRPr="005E283E">
              <w:rPr>
                <w:rFonts w:eastAsia="Times New Roman" w:cstheme="minorHAnsi"/>
                <w:i/>
                <w:iCs/>
                <w:lang w:eastAsia="es-CO"/>
              </w:rPr>
              <w:t>Crecimiento y maduración de la caña panelera.</w:t>
            </w: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Por medio de elementos físicos que generen expectativa y actividades interactivas que causen sorpresa y retroalimentación, a partir del uso de Realidad Aumentada, queremos contribuir al aprendizaje implícito/voluntario acerca de las fases del crecimiento y maduración de la caña panelera güepsana.  </w:t>
            </w:r>
          </w:p>
        </w:tc>
        <w:tc>
          <w:tcPr>
            <w:tcW w:w="542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23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768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68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6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7" w:type="dxa"/>
            <w:tcBorders>
              <w:top w:val="single" w:sz="4" w:space="0" w:color="auto"/>
            </w:tcBorders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</w:tr>
      <w:tr w:rsidR="005E283E" w:rsidRPr="005E283E" w:rsidTr="003764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hideMark/>
          </w:tcPr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Espacio 1.2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Los Cañaduzales - </w:t>
            </w:r>
            <w:r w:rsidRPr="005E283E">
              <w:rPr>
                <w:rFonts w:eastAsia="Times New Roman" w:cstheme="minorHAnsi"/>
                <w:i/>
                <w:iCs/>
                <w:lang w:eastAsia="es-CO"/>
              </w:rPr>
              <w:t>Clima y suelo de la caña ideal.</w:t>
            </w: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 xml:space="preserve">Por medio de elementos físicos que generen expectativa y actividades interactivas que causen sorpresa y retroalimentación, a partir del uso de Realidad Aumentada, queremos contribuir al aprendizaje implícito/voluntario acerca de las condiciones climáticas </w:t>
            </w:r>
            <w:r w:rsidR="00562B0F" w:rsidRPr="005E283E">
              <w:rPr>
                <w:rFonts w:eastAsia="Times New Roman" w:cstheme="minorHAnsi"/>
                <w:lang w:eastAsia="es-CO"/>
              </w:rPr>
              <w:t>y características del suelo g</w:t>
            </w:r>
            <w:r w:rsidRPr="005E283E">
              <w:rPr>
                <w:rFonts w:eastAsia="Times New Roman" w:cstheme="minorHAnsi"/>
                <w:lang w:eastAsia="es-CO"/>
              </w:rPr>
              <w:t>üepsano para el cultivo de la caña panelera, así como las razones por las cuales la panela de Güepsa se destaca en su dulzor.  </w:t>
            </w:r>
          </w:p>
        </w:tc>
        <w:tc>
          <w:tcPr>
            <w:tcW w:w="542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23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8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56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1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9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7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</w:tr>
      <w:tr w:rsidR="005E283E" w:rsidRPr="005E283E" w:rsidTr="00376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hideMark/>
          </w:tcPr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Espacio 2.1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De los Trapiches Güepsanos para el mundo – </w:t>
            </w:r>
            <w:r w:rsidRPr="005E283E">
              <w:rPr>
                <w:rFonts w:eastAsia="Times New Roman" w:cstheme="minorHAnsi"/>
                <w:i/>
                <w:iCs/>
                <w:lang w:eastAsia="es-CO"/>
              </w:rPr>
              <w:t>La Ruta de la Caña.</w:t>
            </w: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lastRenderedPageBreak/>
              <w:t>Por medio de elementos físicos y actividades interactivas con Realidad Aumentada que, en conjunto, generen un ambiente de socialización, entretenimiento y jocosidad, queremos representar la historia, datos y contexto de la llegada de la caña a Güepsa y su recorrido por el mundo hasta llegar al municipio colombiano. </w:t>
            </w:r>
          </w:p>
        </w:tc>
        <w:tc>
          <w:tcPr>
            <w:tcW w:w="542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lastRenderedPageBreak/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23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8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56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1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9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7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</w:tr>
      <w:tr w:rsidR="005E283E" w:rsidRPr="005E283E" w:rsidTr="003764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hideMark/>
          </w:tcPr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lastRenderedPageBreak/>
              <w:t>Espacio 2.2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De los Trapiches Güepsanos para el mundo – </w:t>
            </w:r>
            <w:r w:rsidRPr="005E283E">
              <w:rPr>
                <w:rFonts w:eastAsia="Times New Roman" w:cstheme="minorHAnsi"/>
                <w:i/>
                <w:iCs/>
                <w:lang w:eastAsia="es-CO"/>
              </w:rPr>
              <w:t>Los Trapiches en Güepsa.</w:t>
            </w: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Por medio de elementos físicos y actividades interactivas con Realidad Aumentada que, en conjunto, generen un ambiente de socialización, entretenimiento y jocosidad, queremos representar la evolución de los oficios trapicheros güepsanos, resaltando las diferencias en la producción de panela en el pasado Vs. la actualidad. </w:t>
            </w:r>
          </w:p>
        </w:tc>
        <w:tc>
          <w:tcPr>
            <w:tcW w:w="542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23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8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56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1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9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7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</w:tr>
      <w:tr w:rsidR="005E283E" w:rsidRPr="005E283E" w:rsidTr="00376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hideMark/>
          </w:tcPr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Espacio 2.3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De los Trapiches Güepsanos para el mundo – </w:t>
            </w:r>
            <w:r w:rsidRPr="005E283E">
              <w:rPr>
                <w:rFonts w:eastAsia="Times New Roman" w:cstheme="minorHAnsi"/>
                <w:i/>
                <w:iCs/>
                <w:lang w:eastAsia="es-CO"/>
              </w:rPr>
              <w:t>¡Únete al Convite!</w:t>
            </w: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Por medio de elementos físicos y actividades interactivas con Realidad Aumentada que, en conjunto, generen un ambiente de socialización, entretenimiento y jocosidad, queremos representar y transmitir la cultura del trapiche, su contexto y cotidianidad. </w:t>
            </w:r>
          </w:p>
        </w:tc>
        <w:tc>
          <w:tcPr>
            <w:tcW w:w="542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23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8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56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1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9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7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</w:tr>
      <w:tr w:rsidR="005E283E" w:rsidRPr="005E283E" w:rsidTr="003764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hideMark/>
          </w:tcPr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Espacio 3.1 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Cuadros de honor de los oficios en los cañaduzales y trapiches - </w:t>
            </w:r>
            <w:r w:rsidRPr="005E283E">
              <w:rPr>
                <w:rFonts w:eastAsia="Times New Roman" w:cstheme="minorHAnsi"/>
                <w:i/>
                <w:iCs/>
                <w:lang w:eastAsia="es-CO"/>
              </w:rPr>
              <w:t>Los héroes detrás de un dulce producto.</w:t>
            </w: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lastRenderedPageBreak/>
              <w:t>Por medio de elementos cinematográficos con intencionalidad anecdótica y actividades interactivas con Realidad Aumentada, queremos realizar un homenaje que sensibilice al expectador, enseñando la perspectiva y vida de los trabajadores de los cañaduzales y trapiches de Güepsa.  </w:t>
            </w:r>
          </w:p>
        </w:tc>
        <w:tc>
          <w:tcPr>
            <w:tcW w:w="542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lastRenderedPageBreak/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23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8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6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1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9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77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777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</w:tr>
      <w:tr w:rsidR="008C04BB" w:rsidRPr="005E283E" w:rsidTr="00376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hideMark/>
          </w:tcPr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lastRenderedPageBreak/>
              <w:t>Espacio 3.2.1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Vitrinas de exhibición de herramientas y/o maquinaria – </w:t>
            </w:r>
            <w:r w:rsidRPr="005E283E">
              <w:rPr>
                <w:rFonts w:eastAsia="Times New Roman" w:cstheme="minorHAnsi"/>
                <w:i/>
                <w:iCs/>
                <w:lang w:eastAsia="es-CO"/>
              </w:rPr>
              <w:t>Vitrinas para Cañaduzales</w:t>
            </w: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Por medio de elementos físicos y actividades interactivas que combinen la ludología, gamificación y aprendizaje experiencial, con el uso de Realidad Aumentada, queremos generar un espacio de auto reflexión que aumente el interés y conexión entre visitantes y el contenido expuesto enfocado al trabajo en los cañaduzales.</w:t>
            </w:r>
          </w:p>
        </w:tc>
        <w:tc>
          <w:tcPr>
            <w:tcW w:w="542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23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8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6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1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9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7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</w:tr>
      <w:tr w:rsidR="008C04BB" w:rsidRPr="005E283E" w:rsidTr="003764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hideMark/>
          </w:tcPr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Espacio 3.2.2 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Vitrinas de exhibición de herramientas y/o maquinaria – </w:t>
            </w:r>
            <w:r w:rsidRPr="005E283E">
              <w:rPr>
                <w:rFonts w:eastAsia="Times New Roman" w:cstheme="minorHAnsi"/>
                <w:i/>
                <w:iCs/>
                <w:lang w:eastAsia="es-CO"/>
              </w:rPr>
              <w:t>Vitrinas para Trapiches</w:t>
            </w: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  <w:p w:rsidR="008C04BB" w:rsidRPr="008C04BB" w:rsidRDefault="008C04BB" w:rsidP="008C04BB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Por medio de elementos físicos y actividades interactivas que combinen la ludología, gamificación y aprendizaje experiencial, con el uso de Realidad Aumentada, queremos generar un espacio de auto reflexión que aumente el interés y conexión entre visitantes y el contenido expuesto enfocado al trabajo en los Trapiches. </w:t>
            </w:r>
          </w:p>
        </w:tc>
        <w:tc>
          <w:tcPr>
            <w:tcW w:w="542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23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8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68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6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1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  <w:tc>
          <w:tcPr>
            <w:tcW w:w="595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411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6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 </w:t>
            </w:r>
          </w:p>
        </w:tc>
        <w:tc>
          <w:tcPr>
            <w:tcW w:w="777" w:type="dxa"/>
            <w:hideMark/>
          </w:tcPr>
          <w:p w:rsidR="008C04BB" w:rsidRPr="008C04BB" w:rsidRDefault="008C04BB" w:rsidP="008C04BB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 </w:t>
            </w:r>
          </w:p>
        </w:tc>
      </w:tr>
      <w:tr w:rsidR="008C04BB" w:rsidRPr="005E283E" w:rsidTr="00376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</w:tcPr>
          <w:p w:rsidR="00562B0F" w:rsidRPr="005E283E" w:rsidRDefault="00562B0F" w:rsidP="008C04BB">
            <w:pPr>
              <w:rPr>
                <w:rFonts w:cstheme="minorHAnsi"/>
                <w:b w:val="0"/>
              </w:rPr>
            </w:pPr>
            <w:r w:rsidRPr="005E283E">
              <w:rPr>
                <w:rFonts w:cstheme="minorHAnsi"/>
              </w:rPr>
              <w:t xml:space="preserve">3.3.1. Estación de Realidad Virtual </w:t>
            </w:r>
          </w:p>
          <w:p w:rsidR="008C04BB" w:rsidRPr="005E283E" w:rsidRDefault="00562B0F" w:rsidP="008C04BB">
            <w:pPr>
              <w:rPr>
                <w:rFonts w:cstheme="minorHAnsi"/>
                <w:b w:val="0"/>
              </w:rPr>
            </w:pPr>
            <w:r w:rsidRPr="005E283E">
              <w:rPr>
                <w:rFonts w:cstheme="minorHAnsi"/>
              </w:rPr>
              <w:t>Proceso de cosecha de la c</w:t>
            </w:r>
            <w:r w:rsidR="008C04BB" w:rsidRPr="005E283E">
              <w:rPr>
                <w:rFonts w:cstheme="minorHAnsi"/>
              </w:rPr>
              <w:t>aña</w:t>
            </w:r>
            <w:r w:rsidRPr="005E283E">
              <w:rPr>
                <w:rFonts w:cstheme="minorHAnsi"/>
              </w:rPr>
              <w:t xml:space="preserve">, inmersión por medio de vídeos </w:t>
            </w:r>
            <w:r w:rsidR="008C04BB" w:rsidRPr="005E283E">
              <w:rPr>
                <w:rFonts w:cstheme="minorHAnsi"/>
              </w:rPr>
              <w:t>360 en el contexto del cañaduzal.</w:t>
            </w:r>
          </w:p>
          <w:p w:rsidR="008C04BB" w:rsidRPr="005E283E" w:rsidRDefault="008C04BB" w:rsidP="008C04BB">
            <w:pPr>
              <w:rPr>
                <w:rFonts w:cstheme="minorHAnsi"/>
              </w:rPr>
            </w:pPr>
            <w:r w:rsidRPr="005E283E">
              <w:rPr>
                <w:rFonts w:cstheme="minorHAnsi"/>
              </w:rPr>
              <w:t xml:space="preserve">La experiencia es un casco de realidad virtual, de uso individual, el grupo observa lo que ve la </w:t>
            </w:r>
            <w:r w:rsidRPr="005E283E">
              <w:rPr>
                <w:rFonts w:cstheme="minorHAnsi"/>
              </w:rPr>
              <w:lastRenderedPageBreak/>
              <w:t>persona que usa los cascos en una pantalla o espera su turno para usarlos o puede observar el contenido museográfico relacionado.</w:t>
            </w:r>
          </w:p>
        </w:tc>
        <w:tc>
          <w:tcPr>
            <w:tcW w:w="542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lastRenderedPageBreak/>
              <w:t>x</w:t>
            </w:r>
          </w:p>
        </w:tc>
        <w:tc>
          <w:tcPr>
            <w:tcW w:w="411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423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488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411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11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768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768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65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16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95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411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776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777" w:type="dxa"/>
          </w:tcPr>
          <w:p w:rsidR="008C04BB" w:rsidRPr="005E283E" w:rsidRDefault="008C04BB" w:rsidP="00726FD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C04BB" w:rsidRPr="005E283E" w:rsidTr="0037648F">
        <w:trPr>
          <w:trHeight w:val="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</w:tcPr>
          <w:p w:rsidR="00562B0F" w:rsidRPr="005E283E" w:rsidRDefault="00562B0F" w:rsidP="00562B0F">
            <w:pPr>
              <w:rPr>
                <w:rFonts w:cstheme="minorHAnsi"/>
                <w:b w:val="0"/>
              </w:rPr>
            </w:pPr>
            <w:r w:rsidRPr="005E283E">
              <w:rPr>
                <w:rFonts w:cstheme="minorHAnsi"/>
              </w:rPr>
              <w:lastRenderedPageBreak/>
              <w:t>3.3.2. Estación de Realidad Virtual</w:t>
            </w:r>
          </w:p>
          <w:p w:rsidR="00562B0F" w:rsidRPr="005E283E" w:rsidRDefault="00562B0F" w:rsidP="00562B0F">
            <w:pPr>
              <w:rPr>
                <w:rFonts w:cstheme="minorHAnsi"/>
                <w:b w:val="0"/>
              </w:rPr>
            </w:pPr>
            <w:r w:rsidRPr="005E283E">
              <w:rPr>
                <w:rFonts w:cstheme="minorHAnsi"/>
              </w:rPr>
              <w:t>Proceso de producción panelera, inmersión en un escenario 3D interactivo en el contexto de un trapiche.</w:t>
            </w:r>
          </w:p>
          <w:p w:rsidR="008C04BB" w:rsidRPr="005E283E" w:rsidRDefault="00562B0F" w:rsidP="00562B0F">
            <w:pPr>
              <w:rPr>
                <w:rFonts w:cstheme="minorHAnsi"/>
              </w:rPr>
            </w:pPr>
            <w:r w:rsidRPr="005E283E">
              <w:rPr>
                <w:rFonts w:cstheme="minorHAnsi"/>
              </w:rPr>
              <w:t>La experiencia es u</w:t>
            </w:r>
            <w:r w:rsidR="005E283E" w:rsidRPr="005E283E">
              <w:rPr>
                <w:rFonts w:cstheme="minorHAnsi"/>
              </w:rPr>
              <w:t xml:space="preserve">n casco de realidad virtual, de </w:t>
            </w:r>
            <w:r w:rsidRPr="005E283E">
              <w:rPr>
                <w:rFonts w:cstheme="minorHAnsi"/>
              </w:rPr>
              <w:t>uso individual en una zona demarcada donde la persona se va a mover, el grupo observa lo que ve la persona que usa los cascos en una pantalla o espera su turno para usarlos o puede observar el contenido museográfico relacionado.</w:t>
            </w:r>
          </w:p>
        </w:tc>
        <w:tc>
          <w:tcPr>
            <w:tcW w:w="542" w:type="dxa"/>
          </w:tcPr>
          <w:p w:rsidR="008C04BB" w:rsidRPr="005E283E" w:rsidRDefault="008C04BB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11" w:type="dxa"/>
          </w:tcPr>
          <w:p w:rsidR="008C04BB" w:rsidRPr="005E283E" w:rsidRDefault="00562B0F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423" w:type="dxa"/>
          </w:tcPr>
          <w:p w:rsidR="008C04BB" w:rsidRPr="005E283E" w:rsidRDefault="00562B0F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488" w:type="dxa"/>
          </w:tcPr>
          <w:p w:rsidR="008C04BB" w:rsidRPr="005E283E" w:rsidRDefault="00562B0F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411" w:type="dxa"/>
          </w:tcPr>
          <w:p w:rsidR="008C04BB" w:rsidRPr="005E283E" w:rsidRDefault="008C04BB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11" w:type="dxa"/>
          </w:tcPr>
          <w:p w:rsidR="008C04BB" w:rsidRPr="005E283E" w:rsidRDefault="008C04BB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768" w:type="dxa"/>
          </w:tcPr>
          <w:p w:rsidR="008C04BB" w:rsidRPr="005E283E" w:rsidRDefault="00562B0F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768" w:type="dxa"/>
          </w:tcPr>
          <w:p w:rsidR="008C04BB" w:rsidRPr="005E283E" w:rsidRDefault="008C04BB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65" w:type="dxa"/>
          </w:tcPr>
          <w:p w:rsidR="008C04BB" w:rsidRPr="005E283E" w:rsidRDefault="008C04BB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16" w:type="dxa"/>
          </w:tcPr>
          <w:p w:rsidR="008C04BB" w:rsidRPr="005E283E" w:rsidRDefault="008C04BB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595" w:type="dxa"/>
          </w:tcPr>
          <w:p w:rsidR="008C04BB" w:rsidRPr="005E283E" w:rsidRDefault="00562B0F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411" w:type="dxa"/>
          </w:tcPr>
          <w:p w:rsidR="008C04BB" w:rsidRPr="005E283E" w:rsidRDefault="00562B0F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776" w:type="dxa"/>
          </w:tcPr>
          <w:p w:rsidR="008C04BB" w:rsidRPr="005E283E" w:rsidRDefault="00562B0F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5E283E">
              <w:rPr>
                <w:rFonts w:cstheme="minorHAnsi"/>
              </w:rPr>
              <w:t>x</w:t>
            </w:r>
          </w:p>
        </w:tc>
        <w:tc>
          <w:tcPr>
            <w:tcW w:w="777" w:type="dxa"/>
          </w:tcPr>
          <w:p w:rsidR="008C04BB" w:rsidRPr="005E283E" w:rsidRDefault="008C04BB" w:rsidP="00726FD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5E283E" w:rsidRPr="005E283E" w:rsidTr="003764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hideMark/>
          </w:tcPr>
          <w:p w:rsidR="005E283E" w:rsidRPr="005E283E" w:rsidRDefault="005E283E" w:rsidP="005E283E">
            <w:pPr>
              <w:textAlignment w:val="baseline"/>
              <w:rPr>
                <w:rFonts w:eastAsia="Times New Roman" w:cstheme="minorHAnsi"/>
                <w:b w:val="0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4.1. Experiencia musical</w:t>
            </w:r>
          </w:p>
          <w:p w:rsidR="005E283E" w:rsidRPr="005E283E" w:rsidRDefault="005E283E" w:rsidP="005E283E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Composición musical a partir de los sonidos del ambiente trapichero. </w:t>
            </w:r>
            <w:r w:rsidRPr="005E283E">
              <w:rPr>
                <w:rFonts w:eastAsia="Times New Roman" w:cstheme="minorHAnsi"/>
                <w:lang w:eastAsia="es-CO"/>
              </w:rPr>
              <w:br/>
              <w:t>La experiencia se basa en la activación de animaciones y sonidos del ambiente trapichero generados por videomapping, en donde un máximo de 2 visitantes recorren el espacio interactuando con las paredes por medio de gestos. </w:t>
            </w:r>
          </w:p>
        </w:tc>
        <w:tc>
          <w:tcPr>
            <w:tcW w:w="542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x </w:t>
            </w:r>
          </w:p>
        </w:tc>
        <w:tc>
          <w:tcPr>
            <w:tcW w:w="411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x </w:t>
            </w:r>
          </w:p>
        </w:tc>
        <w:tc>
          <w:tcPr>
            <w:tcW w:w="423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488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x </w:t>
            </w:r>
          </w:p>
        </w:tc>
        <w:tc>
          <w:tcPr>
            <w:tcW w:w="411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411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768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768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565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x </w:t>
            </w:r>
          </w:p>
        </w:tc>
        <w:tc>
          <w:tcPr>
            <w:tcW w:w="516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595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x </w:t>
            </w:r>
          </w:p>
        </w:tc>
        <w:tc>
          <w:tcPr>
            <w:tcW w:w="411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x </w:t>
            </w:r>
          </w:p>
        </w:tc>
        <w:tc>
          <w:tcPr>
            <w:tcW w:w="776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777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x </w:t>
            </w:r>
          </w:p>
        </w:tc>
      </w:tr>
      <w:tr w:rsidR="005E283E" w:rsidRPr="005E283E" w:rsidTr="0037648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81" w:type="dxa"/>
            <w:hideMark/>
          </w:tcPr>
          <w:p w:rsidR="005E283E" w:rsidRPr="005E283E" w:rsidRDefault="005E283E" w:rsidP="005E283E">
            <w:pPr>
              <w:textAlignment w:val="baseline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E2. Experiencia musical: Tema – Cultura musical güepsana, reproducción de contenido audiovisual. </w:t>
            </w:r>
            <w:r w:rsidRPr="005E283E">
              <w:rPr>
                <w:rFonts w:eastAsia="Times New Roman" w:cstheme="minorHAnsi"/>
                <w:lang w:eastAsia="es-CO"/>
              </w:rPr>
              <w:br/>
              <w:t>La experiencia se basa en la interacción con tres videojuegos musicales ubicados en diferentes estaciones dentro del espacio, en donde un máximo de 3 visitantes podrá pasar por cada una de las estaciones simultáneamente de forma individual. </w:t>
            </w:r>
          </w:p>
        </w:tc>
        <w:tc>
          <w:tcPr>
            <w:tcW w:w="542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411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423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488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411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 </w:t>
            </w:r>
          </w:p>
        </w:tc>
        <w:tc>
          <w:tcPr>
            <w:tcW w:w="411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 </w:t>
            </w:r>
          </w:p>
        </w:tc>
        <w:tc>
          <w:tcPr>
            <w:tcW w:w="768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768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 </w:t>
            </w:r>
          </w:p>
        </w:tc>
        <w:tc>
          <w:tcPr>
            <w:tcW w:w="565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 </w:t>
            </w:r>
          </w:p>
        </w:tc>
        <w:tc>
          <w:tcPr>
            <w:tcW w:w="516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 </w:t>
            </w:r>
          </w:p>
        </w:tc>
        <w:tc>
          <w:tcPr>
            <w:tcW w:w="595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411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x </w:t>
            </w:r>
          </w:p>
        </w:tc>
        <w:tc>
          <w:tcPr>
            <w:tcW w:w="776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x  </w:t>
            </w:r>
          </w:p>
        </w:tc>
        <w:tc>
          <w:tcPr>
            <w:tcW w:w="777" w:type="dxa"/>
            <w:hideMark/>
          </w:tcPr>
          <w:p w:rsidR="005E283E" w:rsidRPr="005E283E" w:rsidRDefault="005E283E" w:rsidP="005E283E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es-CO"/>
              </w:rPr>
            </w:pPr>
            <w:r w:rsidRPr="005E283E">
              <w:rPr>
                <w:rFonts w:eastAsia="Times New Roman" w:cstheme="minorHAnsi"/>
                <w:lang w:eastAsia="es-CO"/>
              </w:rPr>
              <w:t>  </w:t>
            </w:r>
          </w:p>
        </w:tc>
      </w:tr>
    </w:tbl>
    <w:p w:rsidR="00334D76" w:rsidRPr="00995080" w:rsidRDefault="00334D76" w:rsidP="00737DD3">
      <w:pPr>
        <w:jc w:val="both"/>
        <w:rPr>
          <w:sz w:val="24"/>
          <w:szCs w:val="24"/>
        </w:rPr>
      </w:pPr>
    </w:p>
    <w:sectPr w:rsidR="00334D76" w:rsidRPr="00995080" w:rsidSect="00726FD4">
      <w:pgSz w:w="15840" w:h="12240" w:orient="landscape"/>
      <w:pgMar w:top="1701" w:right="1418" w:bottom="170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6C73" w:rsidRDefault="00C46C73" w:rsidP="002D7E0A">
      <w:pPr>
        <w:spacing w:after="0" w:line="240" w:lineRule="auto"/>
      </w:pPr>
      <w:r>
        <w:separator/>
      </w:r>
    </w:p>
  </w:endnote>
  <w:endnote w:type="continuationSeparator" w:id="0">
    <w:p w:rsidR="00C46C73" w:rsidRDefault="00C46C73" w:rsidP="002D7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6C73" w:rsidRDefault="00C46C73" w:rsidP="002D7E0A">
      <w:pPr>
        <w:spacing w:after="0" w:line="240" w:lineRule="auto"/>
      </w:pPr>
      <w:r>
        <w:separator/>
      </w:r>
    </w:p>
  </w:footnote>
  <w:footnote w:type="continuationSeparator" w:id="0">
    <w:p w:rsidR="00C46C73" w:rsidRDefault="00C46C73" w:rsidP="002D7E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F642C"/>
    <w:multiLevelType w:val="hybridMultilevel"/>
    <w:tmpl w:val="6B9A63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D76"/>
    <w:rsid w:val="00035D97"/>
    <w:rsid w:val="00047889"/>
    <w:rsid w:val="001B403C"/>
    <w:rsid w:val="0021333B"/>
    <w:rsid w:val="0021486F"/>
    <w:rsid w:val="00296199"/>
    <w:rsid w:val="002D7E0A"/>
    <w:rsid w:val="00334D76"/>
    <w:rsid w:val="00375695"/>
    <w:rsid w:val="0037648F"/>
    <w:rsid w:val="00386303"/>
    <w:rsid w:val="004B3893"/>
    <w:rsid w:val="005247EA"/>
    <w:rsid w:val="00525DE9"/>
    <w:rsid w:val="0054348A"/>
    <w:rsid w:val="00562B0F"/>
    <w:rsid w:val="005A42D5"/>
    <w:rsid w:val="005D5BB6"/>
    <w:rsid w:val="005E283E"/>
    <w:rsid w:val="006444CC"/>
    <w:rsid w:val="006474CC"/>
    <w:rsid w:val="0072566D"/>
    <w:rsid w:val="00726FD4"/>
    <w:rsid w:val="00737DD3"/>
    <w:rsid w:val="00746348"/>
    <w:rsid w:val="007943C4"/>
    <w:rsid w:val="008852EB"/>
    <w:rsid w:val="008A3F01"/>
    <w:rsid w:val="008C04BB"/>
    <w:rsid w:val="00995080"/>
    <w:rsid w:val="00A14E39"/>
    <w:rsid w:val="00AA5ADC"/>
    <w:rsid w:val="00AA6B55"/>
    <w:rsid w:val="00AC3808"/>
    <w:rsid w:val="00AD2405"/>
    <w:rsid w:val="00AF767C"/>
    <w:rsid w:val="00B15E60"/>
    <w:rsid w:val="00BE1FD1"/>
    <w:rsid w:val="00BE2AB0"/>
    <w:rsid w:val="00C46C73"/>
    <w:rsid w:val="00C504AF"/>
    <w:rsid w:val="00D67467"/>
    <w:rsid w:val="00E53098"/>
    <w:rsid w:val="00EC4997"/>
    <w:rsid w:val="00EF163E"/>
    <w:rsid w:val="00F402A5"/>
    <w:rsid w:val="00FE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B211B"/>
  <w15:chartTrackingRefBased/>
  <w15:docId w15:val="{69B61560-0724-47A0-92F4-D0BDBC8AB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A42D5"/>
    <w:pPr>
      <w:ind w:left="720"/>
      <w:contextualSpacing/>
    </w:pPr>
  </w:style>
  <w:style w:type="table" w:styleId="Tablaconcuadrcula">
    <w:name w:val="Table Grid"/>
    <w:basedOn w:val="Tablanormal"/>
    <w:uiPriority w:val="39"/>
    <w:rsid w:val="00386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39"/>
    <w:rsid w:val="00726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C0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8C04BB"/>
  </w:style>
  <w:style w:type="character" w:customStyle="1" w:styleId="eop">
    <w:name w:val="eop"/>
    <w:basedOn w:val="Fuentedeprrafopredeter"/>
    <w:rsid w:val="008C04BB"/>
  </w:style>
  <w:style w:type="character" w:customStyle="1" w:styleId="scxw5922295">
    <w:name w:val="scxw5922295"/>
    <w:basedOn w:val="Fuentedeprrafopredeter"/>
    <w:rsid w:val="005E283E"/>
  </w:style>
  <w:style w:type="character" w:customStyle="1" w:styleId="scxw75436951">
    <w:name w:val="scxw75436951"/>
    <w:basedOn w:val="Fuentedeprrafopredeter"/>
    <w:rsid w:val="005E283E"/>
  </w:style>
  <w:style w:type="paragraph" w:styleId="Descripcin">
    <w:name w:val="caption"/>
    <w:basedOn w:val="Normal"/>
    <w:next w:val="Normal"/>
    <w:uiPriority w:val="35"/>
    <w:unhideWhenUsed/>
    <w:qFormat/>
    <w:rsid w:val="002D7E0A"/>
    <w:pPr>
      <w:spacing w:after="200"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</w:rPr>
  </w:style>
  <w:style w:type="table" w:styleId="Tablanormal4">
    <w:name w:val="Plain Table 4"/>
    <w:basedOn w:val="Tablanormal"/>
    <w:uiPriority w:val="44"/>
    <w:rsid w:val="002D7E0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D7E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7E0A"/>
  </w:style>
  <w:style w:type="paragraph" w:styleId="Piedepgina">
    <w:name w:val="footer"/>
    <w:basedOn w:val="Normal"/>
    <w:link w:val="PiedepginaCar"/>
    <w:uiPriority w:val="99"/>
    <w:unhideWhenUsed/>
    <w:rsid w:val="002D7E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7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0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0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75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5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4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75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9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7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82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4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0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77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28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4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4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8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6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2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39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1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0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83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4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7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46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9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2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8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9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6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5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86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9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42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8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5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2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1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2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8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8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6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2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9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05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2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49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9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4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4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44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90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8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8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2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13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8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3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9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8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9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7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1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5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1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28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2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1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4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8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31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36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1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95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2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3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9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7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73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3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4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2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8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5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0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06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1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3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2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1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9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57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6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2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1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4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6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84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8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8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3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7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2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0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9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0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1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8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1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9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87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6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28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4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5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94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01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96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82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8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7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70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11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0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8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4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5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4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5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19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9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7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74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76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49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24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2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75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8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7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67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6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2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4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6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8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33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7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0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05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5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2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39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9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6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1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0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8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0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5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1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0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28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0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7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7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9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9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7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9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5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69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30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5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1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0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11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3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0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9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16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0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0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9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2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3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9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3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9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3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1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07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92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2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5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5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3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0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3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74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2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19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61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6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73567D1-7FDA-40EB-A939-1D768028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1412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Mendoza Lafaurie</dc:creator>
  <cp:keywords/>
  <dc:description/>
  <cp:lastModifiedBy>david nicolas camelo garcia</cp:lastModifiedBy>
  <cp:revision>4</cp:revision>
  <dcterms:created xsi:type="dcterms:W3CDTF">2022-04-25T21:56:00Z</dcterms:created>
  <dcterms:modified xsi:type="dcterms:W3CDTF">2022-06-08T19:36:00Z</dcterms:modified>
</cp:coreProperties>
</file>